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kvalité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Kravattensliden i Bjurholms kommun</w:t>
      </w:r>
    </w:p>
    <w:p>
      <w:r>
        <w:t>Detta dokument behandlar höga naturvärden i avverkningsanmälan Kravattensliden i Bjurholms kommun. Denna avverkningsanmälan inkom 2025-07-27 och omfattar 535,2 ha.</w:t>
      </w:r>
    </w:p>
    <w:p>
      <w:r>
        <w:t>Nedan presenteras fynd av naturvårdsarter och fridlysta arter som gjorts i det avverkningsanmälda området, samt relevanta utdrag ur standarderna för FSC, Chain of Custody, Controlled Wood och PEFC. I BILAGA 1 finns artfakta om fridlysta och rödlistade arter.</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65 naturvårdsarter hittats: fläckporing (VU), knärot (VU, §8), kristallticka (VU), lappticka (VU), liten aspgelélav (VU), långskägg (VU, §8), norsk näverlav (VU), ostticka (VU), ringlav (VU), rynkskinn (VU), skuggnål (VU), ulltickeporing (VU), blanksvart spiklav (NT), blågrå svartspik (NT), doftskinn (NT), dvärgbägarlav (NT), gammelgransskål (NT), garnlav (NT), granticka (NT), gränsticka (NT), grönhjon (NT), harticka (NT), kolflarnlav (NT), lunglav (NT), mörk kolflarnlav (NT), oljetagging (NT), rosenticka (NT), småflikig brosklav (NT), spillkråka (NT, §4), stjärntagging (NT), tallticka (NT), talltita (NT, §4), tretåig hackspett (NT, §4), ullticka (NT), vedflamlav (NT), vedskivlav (NT), violettgrå tagellav (NT), violmussling (NT), barkticka (S), blodticka (S), bronshjon (S), bårdlav (S), granbarkgnagare (S), korallblylav (S), luddlav (S), mindre märgborre (S), mörk husmossa (S), plattlummer (S, §9), skinnlav (S), spindelblomster (S, §8), stuplav (S), svart trolldruva (S), thomsons trägnagare (S), Thymalus limbatus (S), trådticka (S), vedticka (S), vågbandad barkbock (S), ögonpyrola (S), kungsfågel (§4), lavskrika (§4), tjäder (§4), huggorm (§6), fläcknycklar (§8), nattviol (§8) och revlummer (§9). Av dessa är 38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02984"/>
            <wp:docPr id="1" name="Picture 1"/>
            <wp:cNvGraphicFramePr>
              <a:graphicFrameLocks noChangeAspect="1"/>
            </wp:cNvGraphicFramePr>
            <a:graphic>
              <a:graphicData uri="http://schemas.openxmlformats.org/drawingml/2006/picture">
                <pic:pic>
                  <pic:nvPicPr>
                    <pic:cNvPr id="0" name="Kravattensliden karta.png"/>
                    <pic:cNvPicPr/>
                  </pic:nvPicPr>
                  <pic:blipFill>
                    <a:blip r:embed="rId16"/>
                    <a:stretch>
                      <a:fillRect/>
                    </a:stretch>
                  </pic:blipFill>
                  <pic:spPr>
                    <a:xfrm>
                      <a:off x="0" y="0"/>
                      <a:ext cx="5486400" cy="3302984"/>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7057669, E 673760 i SWEREF 99 TM.</w:t>
      </w:r>
    </w:p>
    <w:p>
      <w:r>
        <w:rPr>
          <w:b/>
        </w:rPr>
        <w:t>Blanksvart spiklav (NT)</w:t>
      </w:r>
      <w:r>
        <w:t xml:space="preserve"> förekommer på torr, hård, gammal kärnved men även på äldre ytved av tall i naturskogsartade bestånd med begränsad brandpåverkan och ostörd hydrologi. Skogsbruksåtgärder på eller i närheten av lokaler med blanksvart spiklav utgör ett hot. Naturskogsartade öppna tall- och barrblandskogar med blanksvart spiklav indikerar höga biologiska värden och bör bevaras (SLU Artdatabanken, 2024).</w:t>
      </w:r>
    </w:p>
    <w:p>
      <w:r>
        <w:rPr>
          <w:b/>
        </w:rPr>
        <w:t>Blågrå svartspik (NT)</w:t>
      </w:r>
      <w:r>
        <w:t xml:space="preserve"> växer på torr, hård ved av gamla, solbelysta torrakor, högstubbar av tall och grova döda grenar på levande tallar i öppna bestånd av naturskogskaraktär. Nästan alltid rör det sig om tjärrika torrträd och högstubbar (töreved, keloträd) som kan vara en bra bit över hundra år, i vissa fall sannolikt hundratals år gamla. Skogsbruk är idag det allvarligaste hotet. Ett långsiktigt hot är att nybildningen av gamla torrakor och högstubbar är en långsam process vilken ofta är beroende av skogsbrand. Nytt substrat bildas numera sannolikt nästan inte alls då antalet naturliga skogsbränder har minskat drastiskt på grund av effektivare brandbekämpning. Döda träd som lämnas efter avverkning är inte lämpliga för arten, eftersom dessa träd inte varit utsatta för skogsbrand och bildat tjärrik ved. Skogsbruksåtgärder på eller i närheten av växtplatserna bör undvikas. Naturskogsartade skogar med förekomst av arten indikerar höga biologiska värden och bör bevaras. Blågrå svartspik har en mycket begränsad utbredning utanför de nordiska länderna varför dessa länder har ett speciellt ansvar för arten (SLU Artdatabanken, 2024).</w:t>
      </w:r>
    </w:p>
    <w:p>
      <w:r>
        <w:rPr>
          <w:b/>
        </w:rPr>
        <w:t>Doftskinn (NT)</w:t>
      </w:r>
      <w:r>
        <w:t>,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(Nitare &amp; Skogsstyrelsen, 2019).</w:t>
      </w:r>
    </w:p>
    <w:p>
      <w:r>
        <w:rPr>
          <w:b/>
        </w:rPr>
        <w:t>Dvärgbägarlav (NT)</w:t>
      </w:r>
      <w:r>
        <w:t xml:space="preserve"> förekommer över hela Sverige på gammal hård ved, huvudsakligen på tall men i södra Sverige även på ek. Veden utgörs framförallt av grova stubbar, lågor och grenar. Substratet har blivit sällsyntare och nybildning av substrat sker bara i begränsad omfattning. Arten hotas av att grova lågor blir allt sällsyntare i dagens kulturskogar samt att nybildningen av lämpliga substrat går mycket långsamt. En riklig tillgång på gamla tall- eller eklågor måste säkerställas på artens lokaler (SLU Artdatabanken, 2024; Nitare &amp; Skogsstyrelsen, 2019).</w:t>
      </w:r>
    </w:p>
    <w:p>
      <w:r>
        <w:rPr>
          <w:b/>
        </w:rPr>
        <w:t>Fläckporing (VU)</w:t>
      </w:r>
      <w:r>
        <w:t xml:space="preserve"> är en mycket bra signalart som visar på tallnaturskogar med höga naturvärden. Den är placerad högst upp i Skogsstyrelsens värdepyramid för bedömning av skog med höga naturvärden och indikerar områden som är mer eller mindre opåverkade av skogsbruk och där det funnits en kontinuitet av tallågor i olika nedbrytningsstadier. För att på lång sikt bibehålla livskraftiga populationer i ett område behövs troligen större skyddade områden som tillåter att man upprätthåller en naturlig branddynamik (SLU Artdatabanken, 2024;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(SLU Artdatabanken, 2024; Nitare &amp; Skogsstyrelsen, 2019).</w:t>
      </w:r>
    </w:p>
    <w:p>
      <w:r>
        <w:rPr>
          <w:b/>
        </w:rPr>
        <w:t>Garnlav (NT)</w:t>
      </w:r>
      <w:r>
        <w:t xml:space="preserve"> är en utpräglad barrskogsart som ibland kan drapera träden i norrländska grannaturskogar med hög luftfuktighet. Den förekommer även i talldominerade bestånd där den, förutom i trädens grenverk, påträffas hängande över ojämnheter i tallbarken. Arten har minskat starkt i södra och mellersta Sverige och den minskar även i sitt nordliga utbredningsområde. Orsaken till tillbakagången beror främst på slutavverkningar av naturskogsartade skogar. Bestånd med riklig förekomst bör regelmässigt sparas. Garnlav är värdväxt för den mycket sällsynta och akut hotade fjärilen barrskogslavfly (CR) som hör hemma i boreala barrskogar med riklig förekomst av värdväxten. Tidigare kunde arten konstateras årligen på flera platser vid Dala-Floda i Dalarna innan lokalerna kalavverkades. Senaste fyndet i landet av barrskogslavfly är från år 2000 då den påträffades vid Högberget i Sollefteå kommun (SLU Artdatabanken, 2024).</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(SLU Artdatabanken, 2024; Nitare &amp; Skogsstyrelsen, 2019).</w:t>
      </w:r>
    </w:p>
    <w:p>
      <w:r>
        <w:rPr>
          <w:b/>
        </w:rPr>
        <w:t>Grönhjon (NT)</w:t>
      </w:r>
      <w:r>
        <w:t xml:space="preserve"> är en skalbagge vars larvutveckling framför allt sker i grovbarkiga grenar (minst 3–5 cm tjocka) på gamla granar, men även i klena stamdelar av barrträd, främst gran, i mindre omfattning tall. Arten är knuten till gamla och gärna glesa granskogar där det finns långsamväxande träd med välutvecklat grenverk. Larverna lever i den skrovliga barken och gör en flera cm bred platt gång som mest liknar en rund håla och är tydligt nedsänkt i vedytan. I kanten av eller mitt på gången finner man en 5 mm bred, oval gång in i grenens ved där arten gör sin puppkammare. Insekten kläcks sedan ut genom samma gång. Främsta hotet är att gamla granar med grova grenar försvinner genom skogsbruk. Äldre granbestånd bör sparas så långt det är möjligt, och inte gallras eller slutavverkas (SLU Artdatabanken, 2024).</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(SLU Artdatabanken, 2024; Nitare &amp; Skogsstyrelsen, 2019).</w:t>
      </w:r>
    </w:p>
    <w:p>
      <w:r>
        <w:rPr>
          <w:b/>
        </w:rPr>
        <w:t>Kolflarnlav (NT)</w:t>
      </w:r>
      <w:r>
        <w:t xml:space="preserve"> är brandberoende och växer nästan uteslutande på kolad hård kärnved av tall. Etableringen verkar ske först 100–300 år efter brand och nytt substrat nybildas i mycket begränsad omfattning. Avverkning av tallskog av naturskogskaraktär med spår av återkommande bränder är ett hot och mängden lämplig ved att växa på för arten minskar dels på grund av naturlig nedbrytning men framförallt på grund av att det förstörs i samband med slutavverkningar, gallringar och markberedning. Såväl kolflarnlav som mörk kolflarnlav har glänsande bålfjäll och förekommer främst i tall- och blandbarrskogar av naturskogskaraktär med spår av återkommande bränder. Skogar som dessa hyser höga biologiska värden och bör skyddas (SLU Artdatabanken, 2024).</w:t>
      </w:r>
    </w:p>
    <w:p>
      <w:r>
        <w:rPr>
          <w:b/>
        </w:rPr>
        <w:t>Korallblylav</w:t>
      </w:r>
      <w:r>
        <w:t xml:space="preserve"> växer på bark av asp, ask, rönn, sälg, bok och lönn och signalerar överallt skogsbestånd med höga naturvärden och den följs nästan alltid av andra ovanliga och rödlistade arter. Den indikerar hög och jämn luftfuktighet och växer främst i områden med lång skoglig kontinuitet där det funnits ett ständigt inslag av gamla lövträd (SLU Artdatabanken, 2024; Nitare &amp; Skogsstyrelsen, 2019).</w:t>
      </w:r>
    </w:p>
    <w:p>
      <w:r>
        <w:rPr>
          <w:b/>
        </w:rPr>
        <w:t>Kristallticka (VU)</w:t>
      </w:r>
      <w:r>
        <w:t xml:space="preserve"> är en mycket krävande art som växer i urskogsartade barrnaturskogar där det finns rikligt med grov död ved i olika nedbrytningsstadier. Den är placerad högst upp i Skogsstyrelsens värdepyramid för bedömning av skog med höga naturvärden och är en av våra främsta naturvärdesindikatorer på skyddsvärda barrnaturskogar. Alla skogsskötselåtgärder på eller i omedelbar närhet av lokalerna påverkar arten negativt liksom den minskande andelen död ved i kulturskogarna (SLU Artdatabanken, 2024; Nitare &amp; Skogsstyrelsen, 2019).</w:t>
      </w:r>
    </w:p>
    <w:p>
      <w:r>
        <w:rPr>
          <w:b/>
        </w:rPr>
        <w:t>Lappticka (VU)</w:t>
      </w:r>
      <w:r>
        <w:t>, rödlistad som sårbar, är knuten till gamla granskogar med riklig förekomst av död ved. Den klassas som en “urskogsindikator” och alla skogsskötselåtgärder på eller i omedelbar närhet av lokalerna utgör ett hot (Nitare &amp; Skogsstyrelsen, 2019; SLU Artdatabanken, 2024).</w:t>
      </w:r>
    </w:p>
    <w:p>
      <w:r>
        <w:rPr>
          <w:b/>
        </w:rPr>
        <w:t>Liten aspgelélav (VU)</w:t>
      </w:r>
      <w:r>
        <w:t>, rödlistad som sårbar, växer på asp i halvöppna boreala blandskogar med hög och jämn luftfuktighet. Den omfattas av åtgärdsprogram (ÅGP) för hotade arter på asp i Norrland och är placerad i toppen av Skogsstyrelsens värdepyramid för bedömning av skog med höga naturvärden. Arten har ett mycket högt skyddsvärde då en mycket stor andel (mer än 90 %) av samtliga kända lokaler i världen finns i Sverige. Samtliga lokaler måste skyddas och inslaget av asp i skogsmark måste öka på lång sikt (Naturvårdsverket, 2010; Nitare &amp; Skogsstyrelsen, 2019; SLU Artdatabanken, 2024).</w:t>
      </w:r>
    </w:p>
    <w:p>
      <w:r>
        <w:rPr>
          <w:b/>
        </w:rPr>
        <w:t>Lunglav (NT)</w:t>
      </w:r>
      <w:r>
        <w:t xml:space="preserve">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(SLU Artdatabanken, 2025; SLU Artdatabanken, 2024; Nitare &amp; Skogsstyrelsen, 2019).</w:t>
      </w:r>
    </w:p>
    <w:p>
      <w:r>
        <w:rPr>
          <w:b/>
        </w:rPr>
        <w:t>Mindre märgborre</w:t>
      </w:r>
      <w:r>
        <w:t xml:space="preserve"> är en signalart för tallskog med höga naturvärden och betraktas tillsammans med skarptandad barkborre (NT) som nyckelarter för ett antal sällsynta åtgärdsprogramsarter som är beroende av deras gångsystem. Bland dessa kan nämnas avlång barkborre (VU), </w:t>
      </w:r>
      <w:r>
        <w:rPr>
          <w:i/>
        </w:rPr>
        <w:t>Corticeus longulus</w:t>
      </w:r>
      <w:r>
        <w:t xml:space="preserve"> (VU), tallbarksvartbagge (VU), tallgångbagge (VU) och cholodkovskys bastborre (NT). Den mindre märgborrens måsvingeliknande gnaggångar är lätta att känna igen och hittas ofta på grova tallgrenar på marken. Rika förekomster av främst mindre märgborre men även skarptandad barkborre (NT) är en signal för artrikedom och inventeringar har visat att det är i skogar med en naturlig självgallring som det skapas förutsättningar för dessa arter samt de efterföljande åtgärdsprogramsarterna. Tallskogar med stark förekomst av mindre märgborre och skarptandad barkborre bör avsättas som reservat. Generellt bör hänsyn tas vid slutavverkning av talldominerad skog så att avverkningsrester som gren- och toppdelar lämnas (Pettersson, 2014; Hedgren, 2012; Gunnarsson m fl., 1999).</w:t>
      </w:r>
    </w:p>
    <w:p>
      <w:r>
        <w:rPr>
          <w:b/>
        </w:rPr>
        <w:t xml:space="preserve">Mörk husmossa </w:t>
      </w:r>
      <w:r>
        <w:t>är en mycket bra signalart i södra och mellersta Sverige. Den är sannolikt svårspridd och växer huvudsakligen i skog med lång skoglig kontinuitet i områden med konstant hög luftfuktighet. Den är känslig för större avverkningar, men tål plockhuggning som lämnar ett tätare trädskikt och ett obrutet, fukthållande mosstäcke på marken. Ett par studier har klart visat att artens tillväxt försämras när skogen huggs ner intill växtplatsen, och att ett kalhygges påverkan på mörk husmossa avtar både med avståndet från kalhygget och ju fuktigare växtplatsen är (SLU Artdatabanken, 2024; Nitare &amp; Skogsstyrelsen, 2019).</w:t>
      </w:r>
    </w:p>
    <w:p>
      <w:r>
        <w:rPr>
          <w:b/>
        </w:rPr>
        <w:t>Mörk kolflarnlav (NT)</w:t>
      </w:r>
      <w:r>
        <w:t xml:space="preserve"> är brandberoende och växer nästan uteslutande på kolad hård kärnved av tall. Arten förekommer främst i glesa, öppna tall- och blandbarrskogar av naturskogskaraktär och etableringen verkar ske sent efter brand, kanske först efter 100–300 år. Mörk kolflarnlav indikerar skog med höga naturvärden och vanligast är att den påträffas på rester av nedbrunna torrakor och högstubbar och lågstubbar som är så grova att hela innandömet är urbränt. Tall- och blandbarrskogar av naturskogskaraktär med spår av återkommande bränder hyser höga biologiska värden och bör skyddas (SLU Artdatabanken, 2024).</w:t>
      </w:r>
    </w:p>
    <w:p>
      <w:r>
        <w:rPr>
          <w:b/>
        </w:rPr>
        <w:t>Norsk näverlav (VU)</w:t>
      </w:r>
      <w:r>
        <w:t>, rödlistad som sårbar, är en suboceanisk art och påträffas bara i områden med hög och jämn luftfuktighet. Den växer i fuktiga granskogar, främst på stammar eller grenar av äldre björkar och granar. Arten är placerad i toppen av Skogsstyrelsens värdepyramid för bedömning av skog med höga naturvärden och försvinner eller missgynnas starkt vid all form av avverkning på eller i anslutning till lokalerna. Norsk näverlav har en hög andel av sin världspopulation i Norge och Sverige vilket medför ett särskilt ansvar för arten (Nitare &amp; Skogsstyrelsen, 2019; SLU Artdatabanken, 2024).</w:t>
      </w:r>
    </w:p>
    <w:p>
      <w:r>
        <w:rPr>
          <w:b/>
        </w:rPr>
        <w:t xml:space="preserve">Ostticka (VU) </w:t>
      </w:r>
      <w:r>
        <w:t>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(SLU Artdatabanken, 2024; Nitare &amp; Skogsstyrelsen, 2019).</w:t>
      </w:r>
    </w:p>
    <w:p>
      <w:r>
        <w:rPr>
          <w:b/>
        </w:rPr>
        <w:t>Ringlav (VU)</w:t>
      </w:r>
      <w:r>
        <w:t>, rödlistad som sårbar, växer oftast på gran och tall i brandrefugiala halvöppna skogar med hög och jämn luftfuktighet. Under de senaste 50 åren har minskningstakten uppgått till 30 (20–40) %. Hur mycket den kommer att minska i framtiden beror på vad som kommer att ske med de stora förekomster som hittats men som ännu saknar skydd. Arten, som är placerad i toppen på Skogsstyrelsen värdepyramid för bedömning av skog med höga naturvärden, är ytterst känslig för förändringar i mikroklimatet och den överlever inte i skogsbestånd som gränsar till kalhyggen. Lavens förekomster tillsammans med väl tilltagna skyddszoner måste skyddas och undantas från produktionsinriktat skogsbruk (SLU Artdatabanken, 2024; Nitare &amp; Skogsstyrelsen, 2019).</w:t>
      </w:r>
    </w:p>
    <w:p>
      <w:r>
        <w:rPr>
          <w:b/>
        </w:rPr>
        <w:t>Rosenticka (NT)</w:t>
      </w:r>
      <w:r>
        <w:t>,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(Nitare &amp; Skogsstyrelsen, 2019; SLU Artdatabanken, 2024).</w:t>
      </w:r>
    </w:p>
    <w:p>
      <w:r>
        <w:rPr>
          <w:b/>
        </w:rPr>
        <w:t>Rynkskinn (VU)</w:t>
      </w:r>
      <w:r>
        <w:t>,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(Nitare &amp; Skogsstyrelsen, 2019; SLU Artdatabanken, 2024).</w:t>
      </w:r>
    </w:p>
    <w:p>
      <w:r>
        <w:rPr>
          <w:b/>
        </w:rPr>
        <w:t xml:space="preserve">Skinnlav </w:t>
      </w:r>
      <w:r>
        <w:t>förekommer på diverse lövträd, främst på gammal asp och sälg. Den påträffas främst i områden med lång kontinuitet av grova lövträd och signalerar skogsmark med höga naturvärden. På lokalerna förekommer som regel ett flertal andra ovanliga eller rödlistade lavar. I likhet med gelélavarna, etablerar sig skinnlaven i skogsmark på grova aspar i sena lövsuccessioner (Nitare &amp; Skogsstyrelsen, 2019).</w:t>
      </w:r>
    </w:p>
    <w:p>
      <w:r>
        <w:rPr>
          <w:b/>
        </w:rPr>
        <w:t xml:space="preserve">Skuggnål (VU) </w:t>
      </w:r>
      <w:r>
        <w:t>växer främst vid basen av gamla grova granar i gamla boreala barrskogar med hög bonitet och mycket hög luftfuktighet. Minskningstakten har uppgått till 30 (20–50) % under de senaste 50 åren och överstiger gränsvärdet för Sårbar (VU) enligt A-kriteriet. (A2bc+4bc). Vid skogliga inventeringar är skuggnål en art som måste eftersökas och dess växtplatser ska bedömas som nyckelbiotoper (SLU Artdatabanken, 2024).</w:t>
      </w:r>
    </w:p>
    <w:p>
      <w:r>
        <w:rPr>
          <w:b/>
        </w:rPr>
        <w:t xml:space="preserve">Småflikig brosklav (NT) </w:t>
      </w:r>
      <w:r>
        <w:t>signalerar i hela sitt utbredningsområde skogsbestånd med höga naturvärden. Den indikerar hög luftfuktighet och långvarig förekomst av asp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(SLU Artdatabanken, 2024; Nitare &amp; Skogsstyrelsen, 2019).</w:t>
      </w:r>
    </w:p>
    <w:p>
      <w:r>
        <w:rPr>
          <w:b/>
        </w:rPr>
        <w:t>Stuplav</w:t>
      </w:r>
      <w:r>
        <w:t xml:space="preserve"> är en mycket bra signalart i hela sitt utbredningsområde och förekommer nästan enbart i skogsmiljöer med höga naturvärden. Den indikerar långvarig förekomst av gamla lövträd och miljöer med konstant hög luftfuktighet. I skogar med suboceaniskt klimat finns det en mycket sällsynt parasit, njurlavsknapp </w:t>
      </w:r>
      <w:r>
        <w:rPr>
          <w:i/>
        </w:rPr>
        <w:t>Pletocarpon nephromeum</w:t>
      </w:r>
      <w:r>
        <w:t xml:space="preserve"> (EN), som växer på stuplav (SLU Artdatabanken, 2024; Nitare &amp; Skogsstyrelsen, 2019).</w:t>
      </w:r>
    </w:p>
    <w:p>
      <w:r>
        <w:rPr>
          <w:b/>
        </w:rPr>
        <w:t>Svart trolldruva</w:t>
      </w:r>
      <w:r>
        <w:t xml:space="preserve"> är en kalkgynnad växt som förekommer på näringsrik frisk mulljord i såväl bördiga kalkbarrskogar som sydliga kalklövskogar och lundar. Arten är en bra signalart för skyddsvärda biotoper i såväl löv- som barrskogar och tål inte slutavverkning och markberedning. Trolldruva är värdväxt för ett antal sällsynta fjärilsarter som ställer höga krav på sina livsmiljöer, däribland trolldruvemätare (EN), skuggmalmätare (VU) och trolldruvelobmätare (VU) (SLU Artdatabanken, 2024; Nitare &amp; Skogsstyrelsen, 2019).</w:t>
      </w:r>
    </w:p>
    <w:p>
      <w:r>
        <w:rPr>
          <w:b/>
        </w:rPr>
        <w:t xml:space="preserve">Tallticka (NT) </w:t>
      </w:r>
      <w:r>
        <w:t>uppträder först på tallar som är 100–150 år gamla men är vanligast på träd som är runt 150–200 år eller äldre. I skogslandskapet är den främst knuten till tallnaturskogar och restbiotoper med biologiskt gamla träd och signalerar vanligtvis skyddsvärda tallbestånd med höga naturvärden (SLU Artdatabanken, 2023; Nitare &amp; Skogsstyrelsen, 2019).</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 xml:space="preserve">Ulltickeporing </w:t>
      </w:r>
      <w:r>
        <w:rPr>
          <w:b/>
          <w:i/>
        </w:rPr>
        <w:t>Skeletocutis brevispora</w:t>
      </w:r>
      <w:r>
        <w:rPr>
          <w:b/>
        </w:rPr>
        <w:t xml:space="preserve"> (VU)</w:t>
      </w:r>
      <w:r>
        <w:t>, rödlistad som sårbar, växer på ullticka (NT) i naturskogsartade granskogar. Avverkning av naturskogslika miljöer och av grova granar där ulltickeporing förekommer är ett direkt hot mot artens fortlevnad. Alla skogliga åtgärder som innebär att lågor och döda eller skadade träd tas bort missgynnar arten. På sikt är minskad tillgång till lämpligt substrat och krympande areal av naturskog ett hot, framförallt råder brist på grov ved som lågor i sena nedbrytningsstadier. Ytterligare fragmentering av skogslandskapet minskar artens möjligheter till spridning. Gamla granskogar som hyser arten undantas helt från skogsbruk (SLU Artdatabanken, 2024).</w:t>
      </w:r>
    </w:p>
    <w:p>
      <w:r>
        <w:rPr>
          <w:b/>
        </w:rPr>
        <w:t>Vedflamlav (NT)</w:t>
      </w:r>
      <w:r>
        <w:t xml:space="preserve"> växer på gammal hård och torr, exponerad kärnved av tall, främst på högstubbar i ljusöppna lägen, t.ex. vid och på myrar, sjökanter, i glesa hällmarkskogar och i brandpräglade tallnaturskogar. Substratet nyskapas i begränsad omfattning och arten är en utmärkt indikator på höga naturvärden i denna skogstyp. Tall- och barrblandskogar med naturskogskaraktär och spår av bränder har ofta höga biologiska värden och bör skyddas (SLU Artdatabanken, 2024).</w:t>
      </w:r>
    </w:p>
    <w:p>
      <w:r>
        <w:rPr>
          <w:b/>
        </w:rPr>
        <w:t>Vedskivlav (NT)</w:t>
      </w:r>
      <w:r>
        <w:t xml:space="preserve"> växer på gammal, torr, exponerad, hård kärnved av framförallt tall i naturskogsartade bestånd. Avverkning av tallskog av naturskogskaraktär med spår av återkommande bränder är ett hot. Mängden lämplig ved att växa på för vedskivlav minskar, dels på grund av naturlig nedbrytning men framförallt på grund av att de förstörs i samband med slutavverkningar, gallringar och markberedning. Tall- och blandbarrskogar av naturskogskaraktär med spår av återkommande bränder bör skyddas (SLU Artdatabanken, 2024).</w:t>
      </w:r>
    </w:p>
    <w:p>
      <w:r>
        <w:rPr>
          <w:b/>
        </w:rPr>
        <w:t>Violettgrå tagellav (NT)</w:t>
      </w:r>
      <w:r>
        <w:t xml:space="preserve"> växer nästan uteslutande i gamla olikåldriga barrnaturskogar med lång skoglig kontinuitet och är en utmärkt signal på skog med höga naturvärden. Slutavverkning av tidigare aldrig slutavverkad skog (kontinuitetsskog) är det största hotet. Biotopen nyskapas i begränsad omfattning och barrskog äldre än 160 år, där den violettgrå tagellaven huvudsakligen påträffas har minskat med 50% de senaste 50 åren. Lågproduktiv skogsmark där laven förekommer bör undantas från skogsbruk och rika förekomster i äldre granskog bör skyddas. Arten är känslig för uttorkning och det är väsentligt att tillräckligt stora bestånd avsätts (SLU Artdatabanken, 2024; Nitare &amp; Skogsstyrelsen, 2019).</w:t>
      </w:r>
    </w:p>
    <w:p>
      <w:r>
        <w:rPr>
          <w:b/>
        </w:rPr>
        <w:t>Violmussling (NT)</w:t>
      </w:r>
      <w:r>
        <w:t xml:space="preserve"> växer på döda, oftast omkullfallna stammar av gran eller tall. De flesta fynden har gjorts i gammal, orörd skog och arten är en mycket god indikator på förekomst av lång skoglig kontinuitet. Platser som hyser stora bestånd av violmussling bör i första hand skyddas och undantas från skogsbruk. Flera sällsynta och mycket sällsynta tickor och skalbaggar är mer eller mindre starkt associerade med violtickor </w:t>
      </w:r>
      <w:r>
        <w:rPr>
          <w:i/>
        </w:rPr>
        <w:t>Trichaptum spp.</w:t>
      </w:r>
      <w:r>
        <w:t xml:space="preserve"> och död ved som först rötats av någon </w:t>
      </w:r>
      <w:r>
        <w:rPr>
          <w:i/>
        </w:rPr>
        <w:t>Trichaptum-art</w:t>
      </w:r>
      <w:r>
        <w:t>. Bland dessa kan nämnas brunkantad brunbagge</w:t>
      </w:r>
      <w:r>
        <w:rPr>
          <w:i/>
        </w:rPr>
        <w:t xml:space="preserve"> </w:t>
      </w:r>
      <w:r>
        <w:t>(RE), gul mjukporing (CR), lämmelporing (EN), parasitporing (VU), gropig brunbagge (NT), gulbandad brunbagge</w:t>
      </w:r>
      <w:r>
        <w:rPr>
          <w:i/>
        </w:rPr>
        <w:t xml:space="preserve"> </w:t>
      </w:r>
      <w:r>
        <w:t>(NT) och kilporing (NT) (SLU Artdatabanken, 2024; Nitare &amp; Skogsstyrelsen, 2019).</w:t>
      </w:r>
    </w:p>
    <w:p>
      <w:r>
        <w:rPr>
          <w:b/>
        </w:rPr>
        <w:t xml:space="preserve">Ögonpyrola </w:t>
      </w:r>
      <w:r>
        <w:t>är normalt en bra signalart som visar på områden med höga naturvärden och stabila förhållanden, särskilt inom näringsfattiga trakter. Växten är mycket känslig för markskador och försvinner snabbt efter slutavverkning. Den hotas också av skogsgödsling och markavvattning (Nitare &amp; Skogsstyrelsen, 2019).</w:t>
      </w:r>
    </w:p>
    <w:p>
      <w:pPr>
        <w:pStyle w:val="Heading1"/>
      </w:pPr>
      <w:r>
        <w:t>Fridlysta arter</w:t>
      </w:r>
    </w:p>
    <w:p>
      <w:r>
        <w:t>Följande fridlysta arter har sina livsmiljöer och växtplatser i den avverkningsanmälda skogen: knärot (VU, §8), långskägg (VU, §8), spillkråka (NT, §4), talltita (NT, §4), tretåig hackspett (NT, §4), plattlummer (S, §9), spindelblomster (S, §8), kungsfågel (§4), lavskrika (§4), tjäder (§4), huggorm (§6), fläcknycklar (§8), nattviol (§8) och revlummer (§9).</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Knärot (VU, §8)</w:t>
      </w:r>
      <w:r>
        <w:t xml:space="preserve"> är rödlistad som sårbar och fridlyst enligt 8§ artskyddsförordningen. En nyligen genomförd analys av 79 floraväktarlokaler indikerar att det behövs någonstans mellan 100 och 150 meters skyddszon för att en knärotspopulation inte ska dö ut på lång sikt (Sebestyén &amp; Sundberg, 2025). Detta ligger väl i linje med tidigare genomförda studier som visar att det krävs väl tilltagna buffertzoner för att knäroten inte ska ta skada av skogsbruksåtgärder i intilliggande skog (Johnson, 2014; Koelmeijer m.fl., 2022; Skogsstyrelsen, 2022). Arten är även känslig för gallring vilket framgår av Skogsstyrelsens egen vägledning för hänsyn till knärot (Skogsstyrelsen, 2022). För rika förekomster av knärot är reservatsbildning eller biotopskydd lämpliga åtgärder för att skydda den (SLU Artdatabanken, 2024).</w:t>
      </w:r>
    </w:p>
    <w:p>
      <w:r>
        <w:t>I det avverkningsanmälda området finns 11 fyndplatser för knärot registrerade på Artportalen. Figur 2 visar gränserna för buffertzoner på 50 m, som behöver lämnas kring fyndplatserna för att knärotslokalerna inte ska försvinna vid en avverkning. Av det avverkningsanmälda området överlappar 8.03 ha med buffertzonerna och får av detta skäl inte avverkas.</w:t>
      </w:r>
    </w:p>
    <w:p>
      <w:pPr>
        <w:pStyle w:val="Caption"/>
      </w:pPr>
      <w:r>
        <w:drawing>
          <wp:inline xmlns:a="http://schemas.openxmlformats.org/drawingml/2006/main" xmlns:pic="http://schemas.openxmlformats.org/drawingml/2006/picture">
            <wp:extent cx="5486400" cy="4472108"/>
            <wp:docPr id="2" name="Picture 2"/>
            <wp:cNvGraphicFramePr>
              <a:graphicFrameLocks noChangeAspect="1"/>
            </wp:cNvGraphicFramePr>
            <a:graphic>
              <a:graphicData uri="http://schemas.openxmlformats.org/drawingml/2006/picture">
                <pic:pic>
                  <pic:nvPicPr>
                    <pic:cNvPr id="0" name="Kravattensliden karta knärot.png"/>
                    <pic:cNvPicPr/>
                  </pic:nvPicPr>
                  <pic:blipFill>
                    <a:blip r:embed="rId17"/>
                    <a:stretch>
                      <a:fillRect/>
                    </a:stretch>
                  </pic:blipFill>
                  <pic:spPr>
                    <a:xfrm>
                      <a:off x="0" y="0"/>
                      <a:ext cx="5486400" cy="4472108"/>
                    </a:xfrm>
                    <a:prstGeom prst="rect"/>
                  </pic:spPr>
                </pic:pic>
              </a:graphicData>
            </a:graphic>
          </wp:inline>
        </w:drawing>
      </w:r>
    </w:p>
    <w:p>
      <w:pPr>
        <w:pStyle w:val="Caption"/>
      </w:pPr>
      <w:r>
        <w:t>Figur 2. Fyndplatser och buffertzoner för knärot i det avverkningsanmälda området. Endast fyndplatser vars buffertzoner överlappar med det avverkningsanmälda området har tagits med i visualiseringen. Kartans mittpunktskoordinat är N 7057669, E 673760 i SWEREF 99 TM.</w:t>
      </w:r>
    </w:p>
    <w:p>
      <w:pPr>
        <w:pStyle w:val="Caption"/>
      </w:pPr>
    </w:p>
    <w:p>
      <w:r>
        <w:rPr>
          <w:b/>
        </w:rPr>
        <w:t>Lavskrika (§4)</w:t>
      </w:r>
      <w:r>
        <w:t>, prioriterad art i Skogsvårdslagen, är en mycket stationär fågel, som häckar i äldre, slutna och hänglavsrika barrskogar. Reviren är livslånga med hemområden som varierar mellan 50 och 150 ha. Inom ett revir av hög kvalitet finns det som regel ett eller flera kärnområden (1–20 ha) med relativt tät flerskiktad granskog. Arten missgynnas när flerskiktad skog omförs till enskiktade bestånd och även röjning och hård gallring är starkt negativt. Lavskrikan har relativt stora hemområden och försvinner när den äldre skogen fragmenteras, särskilt allvarligt är när kärnområdena avverkas. (Skogsstyrelsen 2016). Populationen har minskat med 20–40 % de senaste 30 åren. Arten försvinner successivt framför allt vid dess utbredningsgränser (SLU Artdatabanken, 2021).</w:t>
      </w:r>
    </w:p>
    <w:p>
      <w:r>
        <w:rPr>
          <w:b/>
        </w:rPr>
        <w:t>Långskägg (VU, §8)</w:t>
      </w:r>
      <w:r>
        <w:t xml:space="preserve"> är en exklusiv art som signalerar naturskogar med mycket höga naturvärden. Den är placerad högst upp i Skogsstyrelsens värdepyramid för bedömning av skog med höga naturvärden och fridlyst enligt 8 § artskyddsförordningen. Arten förekommer främst i urskogsartade granskogar i nord- eller östvända bergssluttningar men även i gransumpskog, myrkanter och längs bäckdråg och indikerar lång skoglig kontinuitet där lokalerna ofta utgörs av brandrefugier, det vill säga områden som inte brunnit under åtminstone de senaste 200–300 åren. Långskägg är mycket känslig för uttorkning och vindpåverkan och överlever inte en slutavverkning (inklusive hänsyn). Samtliga kvarvarande lokaler bör skyddas (SLU Artdatabanken, 2024; Nitare &amp; Skogsstyrelsen, 2019).</w:t>
      </w: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(Nitare &amp; Skogsstyrelsen, 2019).</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(Skogsstyrelsen, 2016).</w:t>
      </w:r>
    </w:p>
    <w:p>
      <w:r>
        <w:t>I BILAGA 1 finns mer detaljerad information om ekologi samt krav på livsmiljö hos fridlysta arter.</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6.4.1 </w:t>
      </w:r>
      <w:r>
        <w:t>Följande biotoper undantas från alla skogsbruksåtgärder, förutom åtgärder påkallade för att bevara eller främja biotopens naturliga eller hävdbetingade biologiska mångfald:</w:t>
      </w:r>
    </w:p>
    <w:p>
      <w:pPr>
        <w:ind w:left="357"/>
      </w:pPr>
      <w:r>
        <w:t>b) nyckelbiotoper enligt Skogsstyrelsens definition och metod (1995)</w:t>
      </w:r>
    </w:p>
    <w:p>
      <w:pPr>
        <w:pStyle w:val="ListBullet"/>
      </w:pPr>
      <w:r>
        <w:rPr>
          <w:b/>
          <w:i/>
        </w:rPr>
        <w:t xml:space="preserve">Kommentar: </w:t>
      </w:r>
      <w:r>
        <w:rPr>
          <w:i/>
        </w:rPr>
        <w:t>I det avverkningsanmälda skogsområdet har 58 rödlistade arter och signalarter påträffats. Detta ska jämföras med Skogsstyrelsens uppföljning 2017 av nyckelbiotoper som visade att man i genomsnitt hittar 20,6 olika rödlistade arter och signalarter i en nyckelbiotop (Wijk, S. 2017. Biologisk mångfald i nyckelbiotoper – Resultat från inventeringen “Uppföljning biologisk mångfald” 2009–2015. Rapport 4/2017 Skogsstyrelsen, Jönköping).</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65 naturvårdsarter varav 38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w:t>
        <w:br/>
        <w:t>Fridlysta och rödlistade arter</w:t>
      </w:r>
    </w:p>
    <w:p>
      <w:pPr>
        <w:pStyle w:val="Heading1"/>
      </w:pPr>
      <w:r>
        <w:t>Knärot – ekologi samt krav på livsmiljön</w:t>
      </w:r>
    </w:p>
    <w:p>
      <w:r>
        <w:t>Knärot är fridlyst enligt 8 och 15 §§ artskyddsförordningen och klassad som sårbar (VU) enligt rödlistan 2020. Knärot är beroende av hög och jämn luftfuktighet i gamla, ostörda skogsmiljöer och är känslig för snabba förändringar av ljus-/vindförhållanden eller uttorkning. På grund av ett alltför intensivt skogsbruk har den minskat med 40 (25–50) % under de senaste 60 åren och i framtiden bedöms minskningstakten uppgå till 30 (20–40) %. Till följd av att arten har en dokumenterat högre minskningstakt i förhållande till sin generationstid än vad som tidigare varit känt (data från Riksskogstaxeringen) höjdes den till hotkategori sårbar (VU) i rödlistan 2020 (SLU Artdatabanken, 2024).</w:t>
      </w:r>
    </w:p>
    <w:p>
      <w:r>
        <w:t>En analys av 79 floraväktarlokaler åren 1990–2015 vilka återbesökts under 2020–2024 visade på en tydlig negativ påverkan på knärotsförekomster från större hyggen i närområdet (inom 150–200 m) vilket indikerar att kanteffekter har en stor påverkan på populationerna. Resultaten bekräftar knärotens känslighet för kanteffekter och visar vikten av att skydda större skogsbestånd för att bevara arten. Om det blir höga andelar (&gt;30%) hyggen inom 200 meter från en knärotsförekomst så ökar risken för att en knärotspopulation dör ut och det verkar det behövas någonstans mellan 100 och 150 meters skyddszon för att bevara arten på lång sikt (Sebestyén &amp; Sundberg, 2025).</w:t>
      </w:r>
    </w:p>
    <w:p>
      <w:r>
        <w:t xml:space="preserve">Samuel Johnsons doktorsavhandling </w:t>
      </w:r>
      <w:r>
        <w:rPr>
          <w:i/>
        </w:rPr>
        <w:t>“Retention Forestry as a Conservation Measure for Boreal Forest Ground Vegetation”</w:t>
      </w:r>
      <w:r>
        <w:t xml:space="preserve"> (SLU, Uppsala 2014) visar att det krävs väl tilltagna skyddszoner för att knärotens växtplatser inte ska ta skada av skogsbruksåtgärder i intilliggande områden: </w:t>
      </w:r>
      <w:r>
        <w:rPr>
          <w:i/>
        </w:rPr>
        <w:t xml:space="preserve">“Study III shows that retention patches smaller than 0.5 ha do not lifeboat the sensitive forest herb G. repens, a species that depend on stable microclimatic conditions typical for intact forest stands.” </w:t>
      </w:r>
      <w:r>
        <w:t xml:space="preserve">Vidare </w:t>
      </w:r>
      <w:r>
        <w:rPr>
          <w:i/>
        </w:rPr>
        <w:t>“More sensitive forest species are not lifeboated in retention patches ranging from 0.05 to 0.5 ha (Papers II &amp; III).”</w:t>
      </w:r>
    </w:p>
    <w:p>
      <w:r>
        <w:t xml:space="preserve">Johnsons (2014) rekommendation på minst 50 meters breda skyddszoner runt knärotens växtplatser motsvarar en areal på 0,78 hektar, vilket ligger i linje med andra studier som gjorts på känsliga skogsarter: </w:t>
      </w:r>
      <w:r>
        <w:rPr>
          <w:i/>
        </w:rPr>
        <w:t>“In study III I also show that translocated specimens of G. repens survives well in mature forests at least 50 m from the nearest edge to an open area. Moreover, measures of temperature and humidity show that such distances from an open area is far enough to offer a microclimate that is more stable compared to what present in retention patches of around 0.1 ha. This means that the very centre of a circular patch with radius 50 m (equals a size of 0.78 ha) should offer conditions similar to interior forest and would perhaps be a suitable habitat for G. repens and similar species. Previous studies from both North America and Sweden have also concluded that patches between 0.5 and one ha are sufficient for preserving interior forest vegetation as well as sensitive lichens and bryophytes (de Graaf &amp; Roberts 2009; Halpern et al. 2012; Rudolphi et al. 2014).”</w:t>
      </w:r>
    </w:p>
    <w:p>
      <w:r>
        <w:t>En nyligen publicerad vetenskaplig uppsats av Koelmeijer m.fl. (2022) inkluderar orkidén knärots skyddsbehov. I uppsatsen berörs problemet med uttorkning för växter, bl.a. för knärot, ett problem som blivit accentuerat på grund av den pågående klimatförändringen och torra somrar, t.ex. den exceptionellt torra sommaren 2018. I uppsatsen undersöks områden med tre olika avstånd från kalhyggeskant med avseende på skydd bl.a. för knärot. Det första området har avstånd upp till 20 m från hyggeskant (Strong edge effect), det andra 20–40 m från hyggeskant (Weak edge effect) och det tredje avser större avstånd från hyggeskant, där kanteffekten anses vara försumbar (Interior). Ett resultat var att man fann stor eller mycket stor uttorkningseffekt på känsliga och rödlistade skogsarter vid de kortare avstånden till hyggeskant, medan effekt av uttorkning inte konstaterades på större avstånd (Interior). För orkidén knärot fann man en rik förekomst (upp till 0,06 dm2/m2) på stort avstånd från hyggeskant (Interior), medan förekomsten var liten eller närmast försumbar i de områden som klassificerades som Weak edge effect respektive Strong edge effect. Arbetet påpekar att de allt oftare förekommande torra somrarna ger ytterligare skäl att utöka skyddsavståndet från hyggen till den fuktkrävande arten knärot (Koelmeijer m.fl., 2022).</w:t>
      </w:r>
    </w:p>
    <w:p>
      <w:r>
        <w:t>Även Skogsstyrelsens egen vägledning för hänsyn till knärot ligger i linje med ovanstående forskningsstudier. Av vägledningen framgår det att för med hög sannolikhet kunna bevara befintliga förekomster krävs relativt stora avsättningar av uppvuxen skog med slutet och relativt tätt kronskikt. Som riktlinje kan krävas ett avstånd på 50 meter in från brynet för att vidmakthålla ett fungerande mikroklimat. Detta innebär att fristående hänsynsytor för många arter (kärlväxter, lavar och mossor) kan behöva ha en area överstigande 0,8 hektar (cirkelyta med radien 50 meter = 0,78 hektar) för att bibehålla lokalklimatet. Även ganska små förändringar i form av förändrade ljus- och fuktighetsförhållanden, till exempel till följd av gallring, kan leda till att arten försvinner till följd av konkurrens med mera ljuskrävande och snabbväxande arter (Skogsstyrelsen, 2022).</w:t>
      </w:r>
    </w:p>
    <w:p>
      <w:r>
        <w:t>Vid tillämpning av försiktighetsprincipen enligt 2 kap. 3 § miljöbalken bör sålunda 100–150 meters skyddszon lämnas runt knärotens växtplatser.</w:t>
      </w:r>
    </w:p>
    <w:p>
      <w:pPr>
        <w:pStyle w:val="Heading2"/>
      </w:pPr>
      <w:r>
        <w:t>Referenser – knärot</w:t>
      </w:r>
    </w:p>
    <w:p>
      <w:r>
        <w:t xml:space="preserve">de Graaf M &amp; Roberts M.R., 2009. </w:t>
      </w:r>
      <w:r>
        <w:rPr>
          <w:i/>
        </w:rPr>
        <w:t xml:space="preserve">Short-term response of the herbaceous layer within leave patches after harvest. </w:t>
      </w:r>
      <w:r>
        <w:t>Forest Ecology and Management 257, 1014–1025</w:t>
      </w:r>
    </w:p>
    <w:p>
      <w:r>
        <w:t xml:space="preserve">Halpern, C. B., Halaj, J., Evans, S. A., &amp; Dovciak, M., 2012. </w:t>
      </w:r>
      <w:r>
        <w:rPr>
          <w:i/>
        </w:rPr>
        <w:t xml:space="preserve">Level and pattern of overstory retention interact to shape long-term responses of understories to timber harvest. </w:t>
      </w:r>
      <w:r>
        <w:t>Ecological Applications, 22, 2049–2064</w:t>
      </w:r>
    </w:p>
    <w:p>
      <w:r>
        <w:t xml:space="preserve">Johnson, S., 2014. </w:t>
      </w:r>
      <w:r>
        <w:rPr>
          <w:i/>
        </w:rPr>
        <w:t>Retention Forestry as a Conservation Measure for Boreal Forest Ground Vegetation</w:t>
      </w:r>
      <w:r>
        <w:t>. Doktorsavhandling, SLU, Uppsala</w:t>
      </w:r>
    </w:p>
    <w:p>
      <w:r>
        <w:t xml:space="preserve">Koelmeijer, I. A., Ehrlén, J., Jönsson, M., De Frenne, P., Berg, P., Andersson, J., Weibull, H. &amp; Hylander, N. 2022. </w:t>
      </w:r>
      <w:r>
        <w:rPr>
          <w:i/>
        </w:rPr>
        <w:t xml:space="preserve">Interactive effects of drought and edge exposure on old-growth forest understory species. </w:t>
      </w:r>
      <w:r>
        <w:t>Landscape Ecology, 37, sid 1839–1853</w:t>
      </w:r>
    </w:p>
    <w:p>
      <w:r>
        <w:t xml:space="preserve">Rudolphi, J., Jönsson, M. T., &amp; Gustafsson, L., 2014. </w:t>
      </w:r>
      <w:r>
        <w:rPr>
          <w:i/>
        </w:rPr>
        <w:t xml:space="preserve">Biological legacies buffer local species extinction after logging. </w:t>
      </w:r>
      <w:r>
        <w:t>Journal of Applied Ecology. 51, 53–62.</w:t>
      </w:r>
    </w:p>
    <w:p>
      <w:r>
        <w:t xml:space="preserve">Sebestyén, L. och Sundberg, S. 2025.  </w:t>
      </w:r>
      <w:r>
        <w:rPr>
          <w:i/>
        </w:rPr>
        <w:t>Påverkan på knärotslokaler från hyggen i närheten.</w:t>
      </w:r>
      <w:r>
        <w:t xml:space="preserve"> DAPHNE 36:1 2025. Botaniska Sällskapet i Stockholm</w:t>
      </w:r>
    </w:p>
    <w:p>
      <w:r>
        <w:t xml:space="preserve">Skogsstyrelsen, 2022. </w:t>
      </w:r>
      <w:r>
        <w:rPr>
          <w:i/>
        </w:rPr>
        <w:t xml:space="preserve">Vägledning för hänsyn till knärot. </w:t>
      </w:r>
      <w:r>
        <w:t>https://www.skogsstyrelsen.se/lag-och-tillsyn/artskydd/vagledningar-och-kunskapsstod-artskydd/vagledning-for-hansyn-till-knarot/</w:t>
      </w:r>
    </w:p>
    <w:p>
      <w:r>
        <w:t xml:space="preserve">SLU Artdatabanken, 2024. </w:t>
      </w:r>
      <w:r>
        <w:rPr>
          <w:i/>
        </w:rPr>
        <w:t xml:space="preserve">Artfaktablad. Naturvård – artfakta. </w:t>
      </w:r>
      <w:r>
        <w:t>SLU Artdatabanken, Uppsala</w:t>
      </w:r>
    </w:p>
    <w:p>
      <w:pPr>
        <w:pStyle w:val="Heading1"/>
      </w:pPr>
      <w:r>
        <w:t>Lavskrika – ekologi samt krav på livsmiljön</w:t>
      </w:r>
    </w:p>
    <w:p>
      <w:r>
        <w:t>Lavskrikan är fridlyst enligt 4 § artskyddsförordningen (2007:845) och ingår i förteckningen över prioriterade arter i Skogsstyrelsens föreskrifter och allmänna råd (SKSFS 2011:7) bilaga 4.</w:t>
      </w:r>
    </w:p>
    <w:p>
      <w:r>
        <w:t xml:space="preserve">I Skogsstyrelsens vägledning för hänsyn till fåglar står bland annat att: </w:t>
      </w:r>
      <w:r>
        <w:rPr>
          <w:i/>
        </w:rPr>
        <w:t>“Reviren är livslånga med hemområden som varierar mellan 50 och 150 ha. Hemområdena har inga fasta gränser utan det handlar mera om de yttre gränserna för familjegruppernas rörelser. Lavskrikan undviker att förflytta sig över stora öppna områden och hemområdesstorleken är därför större i områden fragmenterade av hyggen och yngre skog än i områden med i sammanhängande äldre skog. Det finns studier som antyder att det inom ett revir bör finnas maximalt 15 % öppna ytor och ungskog. Inom ett revir av hög kvalitet finns det som regel ett eller flera kärnområden (1–20 ha) med relativt tät flerskiktad granskog.”</w:t>
      </w:r>
      <w:r>
        <w:t xml:space="preserve"> Vidare att: </w:t>
      </w:r>
      <w:r>
        <w:rPr>
          <w:i/>
        </w:rPr>
        <w:t>“Arten missgynnas när flerskiktad skog omförs till enskiktade bestånd. Även skogsskötsel med återkommande röjning och hård gallring är starkt negativt. Lavskrikan har relativt stora hemområden och försvinner när den äldre skogen fragmenteras, särskilt allvarligt är när kärnområdena avverkas.”</w:t>
      </w:r>
      <w:r>
        <w:t xml:space="preserve"> (Skogsstyrelsen 2016).</w:t>
      </w:r>
    </w:p>
    <w:p>
      <w:r>
        <w:t>Populationen har minskat med 20–40 % de senaste 30 åren, men i Svensk Fågeltaxerings standardrutter varierar antalet kraftigt och ingen minskning kan skönjas de senaste 18 åren. Arten försvinner successivt framför allt vid dess utbredningsgränser (SLU Artdatabanken, 2022).</w:t>
      </w:r>
    </w:p>
    <w:p>
      <w:pPr>
        <w:pStyle w:val="Heading2"/>
      </w:pPr>
      <w:r>
        <w:t>Referenser – lavskrika</w:t>
      </w:r>
    </w:p>
    <w:p>
      <w:r>
        <w:t xml:space="preserve">Skogsstyrelsen, 2016. </w:t>
      </w:r>
      <w:r>
        <w:rPr>
          <w:i/>
        </w:rPr>
        <w:t xml:space="preserve">Vägledning för hänsyn till fåglar – lavskrika. </w:t>
      </w:r>
      <w:r>
        <w:t>https://www.skogsstyrelsen.se/globalassets/lag-och-tillsyn/artskydd/vagledningar-for-hansyn-till-faglar/lavskrika-vagledning-hansyn.pdf</w:t>
      </w:r>
    </w:p>
    <w:p>
      <w:r>
        <w:t xml:space="preserve">SLU Artdatabanken, 2021. </w:t>
      </w:r>
      <w:r>
        <w:rPr>
          <w:i/>
        </w:rPr>
        <w:t xml:space="preserve">Artfaktablad. Naturvård – artfakta. </w:t>
      </w:r>
      <w:r>
        <w:t>SLU Artdatabanken, Uppsala</w:t>
      </w:r>
    </w:p>
    <w:p>
      <w:pPr>
        <w:pStyle w:val="Heading1"/>
      </w:pPr>
      <w:r>
        <w:t>Lunglav – ekologi samt krav på livsmiljön</w:t>
      </w:r>
    </w:p>
    <w:p>
      <w:r>
        <w:t>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Mindre märgborre – ekologi samt krav på livsmiljön</w:t>
      </w:r>
    </w:p>
    <w:p>
      <w:r>
        <w:t xml:space="preserve">Mindre märgborre är en signalart för tallskog med höga naturvärden och kan lätt konstateras genom sina karaktäristiska måsvingeliknande gnagspår som ofta hittas på grova tallgrenar på marken. Mindre märgborre betraktas tillsammans med skarptandad barkborre (NT) som nyckelarter, eftersom en rad sällsynta efterföljande arter är beroende av deras gångsystem. Bland dessa kan nämnas åtgärdsprogramsarterna avlång barkborre (VU), </w:t>
      </w:r>
      <w:r>
        <w:rPr>
          <w:i/>
        </w:rPr>
        <w:t>Corticeus longulus</w:t>
      </w:r>
      <w:r>
        <w:t xml:space="preserve"> (VU), tallbarksvartbagge (VU), tallgångbagge (VU) och cholodkovskys bastborre (NT) (Pettersson, 2014; Gunnarsson m fl., 1999).</w:t>
      </w:r>
    </w:p>
    <w:p>
      <w:r>
        <w:t>Tallskogar tillhör de livsmiljöer som förändrats i stor skala, där många kvadratmil har omvandlats till unga produktionsskogar. I sådana skogar saknas förutsättningar för de ovannämnda sällsynta barkborrarna och alltmer kunskap tyder på att skogsbrukets omvandling av skogslandskapet, missgynnar åtgärdsprogrammets arter även inne i skyddade områden (Hedgren, 2012; Hedgren m.fl., 2010; Wikars m.fl., 2010; Wikars, 2009). Orsaken är sannolikt att dagens intensiva skogsbruk trivialiserar faunan på nydöda träd. Detta sker genom att generalister förökas upp i sådan grad i den brukade skogen att dessa även kommer att dominera i de för hållandevis små och fragmenterade områden som avsätts för naturvård (Appelqvist, 2005; Janzen, 1983; Ås, 1999).</w:t>
      </w:r>
    </w:p>
    <w:p>
      <w:r>
        <w:t>Ett tydligt exempel på en generalist som gynnas av dagens skogsbruk är större märgborre på nydöd tall. Denna utvecklas förutom i vindfällen gärna i avverkningsavfall, inklusive avverkningsstubbar och röjningsstammar. Därmed har den större märgborren möjlighet att upprätthålla stora och stabila populationer på huvuddelen av landets skogsmark, vilket leder till en trivialisering av faunan. Större märgborre inverkar sannolikt direkt negativt på arter som tolvtandad barkborre (EN) och avlång barkborre (VU), och indirekt på de som är gynnade av blånadssvampar, dvs. följearter till framförallt mindre märgborre och skarptandad barkborre (NT). De barkborrar som missgynnas av större märgborre är i mycket högre grad gynnade av tallar som dör genom självgallring, dvs. i normalfallet skog som inte används till skogsproduktion (Pettersson, 2014; Wikars, skriftl.).</w:t>
      </w:r>
    </w:p>
    <w:p>
      <w:r>
        <w:t>Rika förekomster av främst mindre märgborre men även skarptandad barkborre (NT) är en signal för artrikedom och inventeringar har visat att det är i skogar med en naturlig självgallring som det skapas förutsättningar för dessa arter samt de efterföljande åtgärdsprogramsarterna (Pettersson, 2014; Hedgren, 2012). Tallskogar med stark förekomst av mindre märgborre och skarptandad barkborre bör avsättas som reservat. Generellt bör hänsyn tas vid slutavverkning av talldominerad skog så att avverkningsrester som gren- och toppdelar (s.k. GROT) lämnas (Pettersson, 2014).</w:t>
      </w:r>
    </w:p>
    <w:p>
      <w:pPr>
        <w:pStyle w:val="Heading2"/>
      </w:pPr>
      <w:r>
        <w:t>Referenser – mindre märgborre</w:t>
      </w:r>
    </w:p>
    <w:p>
      <w:r>
        <w:t xml:space="preserve">Appelqvist, T., 2005. </w:t>
      </w:r>
      <w:r>
        <w:rPr>
          <w:i/>
        </w:rPr>
        <w:t>Naturvårdsbiologisk forskning. Underlag för områdesskydd i landskapet.</w:t>
      </w:r>
      <w:r>
        <w:t xml:space="preserve"> Naturvårdsverket, Rapport 5452.</w:t>
      </w:r>
    </w:p>
    <w:p>
      <w:r>
        <w:t xml:space="preserve">Gunnarsson, B., Pettersson, R. B., Hake, M. och Hultengren, S. &amp; Sjöberg, K., 1999. </w:t>
      </w:r>
      <w:r>
        <w:rPr>
          <w:i/>
        </w:rPr>
        <w:t xml:space="preserve">Spindlar och skalbaggar som indikatorer i barrskog. </w:t>
      </w:r>
      <w:r>
        <w:t>Skog &amp; Forskning, Nr. 2/99, s. 46–51.</w:t>
      </w:r>
    </w:p>
    <w:p>
      <w:r>
        <w:t xml:space="preserve">Hedgren, O., 2012. </w:t>
      </w:r>
      <w:r>
        <w:rPr>
          <w:i/>
        </w:rPr>
        <w:t>Hotade insekter på tallved i Dalarna.</w:t>
      </w:r>
      <w:r>
        <w:t xml:space="preserve"> Länsstyrelsen Dalarna, Naturvårdsenheten. Rapport 2012:16.</w:t>
      </w:r>
    </w:p>
    <w:p>
      <w:r>
        <w:t xml:space="preserve">Hedgren, O. 2010. </w:t>
      </w:r>
      <w:r>
        <w:rPr>
          <w:i/>
        </w:rPr>
        <w:t>Vedinsekter i tallskog och på brandfält i Värmland.</w:t>
      </w:r>
      <w:r>
        <w:t xml:space="preserve"> Länsstyrelsen Värmland, Stencil, 39 s.</w:t>
      </w:r>
    </w:p>
    <w:p>
      <w:r>
        <w:t xml:space="preserve">Janzen, D. H., 1983. </w:t>
      </w:r>
      <w:r>
        <w:rPr>
          <w:i/>
        </w:rPr>
        <w:t>No park is an island: Increase in interference from outside as park size decreases</w:t>
      </w:r>
      <w:r>
        <w:t>. Oikos 41: 402–410.</w:t>
      </w:r>
    </w:p>
    <w:p>
      <w:r>
        <w:t xml:space="preserve">Jonsell, M., Weslien, J. &amp; Ehn ström, B., 1998. </w:t>
      </w:r>
      <w:r>
        <w:rPr>
          <w:i/>
        </w:rPr>
        <w:t>Substrate requirements of red-listed saproxylic invertebrates in Sweden</w:t>
      </w:r>
      <w:r>
        <w:t>. Biodiversity and Conserv. 7: 749–764.</w:t>
      </w:r>
    </w:p>
    <w:p>
      <w:r>
        <w:t xml:space="preserve">Pettersson, R. B., 2014). </w:t>
      </w:r>
      <w:r>
        <w:rPr>
          <w:i/>
        </w:rPr>
        <w:t>Åtgärdsprogram för skalbaggar på nyligen död tall, 2014–2018.</w:t>
      </w:r>
      <w:r>
        <w:t xml:space="preserve"> Rapport 6599. Bromma: Naturvårdsverket.</w:t>
      </w:r>
    </w:p>
    <w:p>
      <w:r>
        <w:t xml:space="preserve">Wikars, L.-O., Hansson, J. &amp; Hedgren, O., 2010. </w:t>
      </w:r>
      <w:r>
        <w:rPr>
          <w:i/>
        </w:rPr>
        <w:t>Inventering av vedlevande skalbaggar – tallskogar i Örebro län.</w:t>
      </w:r>
      <w:r>
        <w:t xml:space="preserve"> Länsstyrelsen i Örebro län, publ.nr. 2010:2.</w:t>
      </w:r>
    </w:p>
    <w:p>
      <w:r>
        <w:t xml:space="preserve">Wikars, L.-O., 2009. </w:t>
      </w:r>
      <w:r>
        <w:rPr>
          <w:i/>
        </w:rPr>
        <w:t>Vedskalbaggar i Hamra nationalpark, Gävleborgs län.</w:t>
      </w:r>
      <w:r>
        <w:t xml:space="preserve"> Länsstyrelsen Gävleborg, Rapport 2009:14.</w:t>
      </w:r>
    </w:p>
    <w:p>
      <w:pPr>
        <w:pStyle w:val="Heading1"/>
      </w:pPr>
      <w:r>
        <w:t>Spillkråka – ekologi samt krav på livsmiljön</w:t>
      </w:r>
    </w:p>
    <w:p>
      <w:r>
        <w:t>Spillkråka (NT) är rödlistad som nära hotad, fridlyst enligt §4 Artskyddsförordningen och ingår i bilaga 1 i EU:s fågeldirektiv. Spillkråka lever i både barr- och blandskog liksom i ren lövskog. De tätaste populationerna tenderar att finnas i äldre, variationsrik blandskog med gott om död ved och gamla träd.</w:t>
      </w:r>
    </w:p>
    <w:p>
      <w:r>
        <w:t>Varje par utnyttjar 400–1000 hektar skog beroende på skogens kvalitet. En minskning av populationen pågår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Talltita – ekologi samt krav på livsmiljön</w:t>
      </w:r>
    </w:p>
    <w:p>
      <w:r>
        <w:t>Talltita är rödlistad som NT, fridlyst och prioriterad art i Skogsvårdslagen. Den omfattas av EU:s fågeldirektiv. Arten har minskat kraftigt de senaste 30 åren och minskningstakten innevarande 10-årsperiod beräknas till 20 (10–30) % (SLU Artdatabanken, 2022).</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For. Ecol. Manage. 319, 169–175.</w:t>
      </w:r>
    </w:p>
    <w:p>
      <w:r>
        <w:t xml:space="preserve">Ekman, J., 1979. </w:t>
      </w:r>
      <w:r>
        <w:rPr>
          <w:i/>
        </w:rPr>
        <w:t xml:space="preserve">Coherence, composition and territories of winter social groups of the Willow Tit Parus montanus and the Crested Tit P. cristatus. </w:t>
      </w:r>
      <w:r>
        <w:t>Ornis Scandinavica, 10, pp 56–68</w:t>
      </w:r>
    </w:p>
    <w:p>
      <w:r>
        <w:t xml:space="preserve">Griesser, M., Nystrand, M., Eggers, S., Ekman, J., 2007. </w:t>
      </w:r>
      <w:r>
        <w:rPr>
          <w:i/>
        </w:rPr>
        <w:t xml:space="preserve">Impact of forestry practices on fitness correlates and population productivity in an open-nesting bird species. </w:t>
      </w:r>
      <w:r>
        <w:t>Conserv. Biol. 21, 767–774. https://doi.org/10.1111/j.1523- 1739.2007.00675.x</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SLU Artdatabanken, Uppsala</w:t>
      </w:r>
    </w:p>
    <w:p>
      <w:pPr>
        <w:pStyle w:val="Heading1"/>
      </w:pPr>
      <w:r>
        <w:t>Tjäder – ekologi samt krav på livsmiljön</w:t>
      </w:r>
    </w:p>
    <w:p>
      <w:r>
        <w:t>Tjäder (§4) är en utpräglad skogsfågel knuten till större sammanhängande barrskogsområden. Tupparna och hönorna utnyttjar till viss del olika miljöer, och habitatvalet varierar dessutom mellan olika delar av året. För att det ska finnas livskraftiga tjäderbestånd krävs funktionella skogslandskap med en blandning av uppvuxen, gles och luckig skog, täta sumpskogar, myrar och andra små våtmarker (Skogsstyrelsen, 2019).</w:t>
      </w:r>
    </w:p>
    <w:p>
      <w:r>
        <w:t>Arten försvinner när skogen fragmenteras och den sammanlagda arealen hyggen och andra öppna områden blir för stor. Ett småskaligt och försiktigt virkesuttag genom hyggesfria metoder kan i vissa fall vara möjligt i området inom 200 m från lekcentrum. Längre ut från lekcentrum, inom 200–500 m bör den avverkade ytan inte överskrida 1 hektar för att undvika alltför stora och snabba förändringar (Skogsstyrelsen, 2019).</w:t>
      </w:r>
    </w:p>
    <w:p>
      <w:pPr>
        <w:pStyle w:val="Heading2"/>
      </w:pPr>
      <w:r>
        <w:t>Referenser – tjäder</w:t>
      </w:r>
    </w:p>
    <w:p>
      <w:r>
        <w:t xml:space="preserve">Skogsstyrelsen, 2019. </w:t>
      </w:r>
      <w:r>
        <w:rPr>
          <w:i/>
        </w:rPr>
        <w:t xml:space="preserve">Vägledning för hänsyn till fåglar – tjäder. </w:t>
      </w:r>
      <w:r>
        <w:t>https://www.skogsstyrelsen.se/globalassets/lag-och-tillsyn/artskydd/vagledningar-for-hansyn-till-faglar/tjader-vagledning-hansyn2.pdf</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p>
      <w:pPr>
        <w:pStyle w:val="Heading1"/>
      </w:pPr>
      <w:r>
        <w:t>Ulltickeporing – ekologi samt krav på livsmiljön</w:t>
      </w:r>
    </w:p>
    <w:p>
      <w:r>
        <w:t xml:space="preserve">Ulltickeporing </w:t>
      </w:r>
      <w:r>
        <w:rPr>
          <w:i/>
        </w:rPr>
        <w:t>Skeletocutis brevispora</w:t>
      </w:r>
      <w:r>
        <w:t xml:space="preserve"> (VU), rödlistad som sårbar, växer på ullticka (NT) i naturskogsartade granskogar. Avverkning av naturskogslika miljöer och av grova granar där ulltickeporing förekommer är ett direkt hot mot artens fortlevnad Alla skogliga åtgärder som innebär att lågor och döda eller skadade träd tas bort missgynnar arten. På sikt är minskad tillgång till lämpligt substrat och krympande areal av naturskog ett hot, framförallt råder brist på grov ved som lågor i sena nedbrytningsstadier. Ytterligare fragmentering av skogslandskapet minskar artens möjligheter till spridning. Gamla granskogar som hyser arten undantas helt från skogsbruk (SLU Artdatabanken, 2024).</w:t>
      </w:r>
    </w:p>
    <w:p>
      <w:r>
        <w:t xml:space="preserve">Ulltickeporingen har nyligen delats upp i tre olika arter: </w:t>
      </w:r>
      <w:r>
        <w:rPr>
          <w:i/>
        </w:rPr>
        <w:t xml:space="preserve">Skeletocutis brevispora </w:t>
      </w:r>
      <w:r>
        <w:t>(ulltickeporing)</w:t>
      </w:r>
      <w:r>
        <w:rPr>
          <w:i/>
        </w:rPr>
        <w:t>, Skeletocutis delicata och Skeletocutis exilis</w:t>
      </w:r>
      <w:r>
        <w:t xml:space="preserve"> (Miettinen &amp; Niemelä, 2018). Skeletocutis delicata och Skeletocutis exilis står för närvarande (2020) som ej bedömda i rödlistan.</w:t>
      </w:r>
    </w:p>
    <w:p>
      <w:pPr>
        <w:pStyle w:val="Heading2"/>
      </w:pPr>
      <w:r>
        <w:t>Referenser – ulltickeporing</w:t>
      </w:r>
    </w:p>
    <w:p>
      <w:r>
        <w:t xml:space="preserve">Miettinen, O. &amp; Niemelä, T., 2018. </w:t>
      </w:r>
      <w:r>
        <w:rPr>
          <w:i/>
        </w:rPr>
        <w:t>Two new temperate polypore species of Skeletocutis (Polyporales, Basidiomycota)</w:t>
      </w:r>
      <w:r>
        <w:t>. Ann. Bot. Fennici 55: 195–206.</w:t>
      </w:r>
    </w:p>
    <w:p>
      <w:r>
        <w:t xml:space="preserve">SLU Artdatabanken, 2024. </w:t>
      </w:r>
      <w:r>
        <w:rPr>
          <w:i/>
        </w:rPr>
        <w:t xml:space="preserve">Artfaktablad. Naturvård – artfakta. </w:t>
      </w:r>
      <w:r>
        <w:t>SLU Artdatabanken, Uppsala</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2025-07-27</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 Id="rId17"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